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12" w:rsidRPr="00EB2FCC" w:rsidRDefault="00874C12" w:rsidP="00874C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2FCC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СТЕКЛЯНСКОГО СЕЛЬСОВЕТА</w:t>
      </w:r>
    </w:p>
    <w:p w:rsidR="00874C12" w:rsidRPr="00EB2FCC" w:rsidRDefault="00874C12" w:rsidP="00EB2FC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2FCC"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  РАЙОНА  НОВОСИБИРСКОЙ  ОБЛАСТИ</w:t>
      </w:r>
    </w:p>
    <w:p w:rsidR="00874C12" w:rsidRDefault="00874C12" w:rsidP="00874C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C12" w:rsidRDefault="00874C12" w:rsidP="00874C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C12" w:rsidRPr="00EB2FCC" w:rsidRDefault="00874C12" w:rsidP="00874C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EB2FCC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EB2F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874C12" w:rsidRDefault="00874C12" w:rsidP="00874C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C12" w:rsidRDefault="00874C12" w:rsidP="00874C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874C12" w:rsidRPr="00EB2FCC" w:rsidRDefault="00EB2FCC" w:rsidP="00874C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FCC">
        <w:rPr>
          <w:rFonts w:ascii="Times New Roman" w:eastAsia="Times New Roman" w:hAnsi="Times New Roman"/>
          <w:sz w:val="28"/>
          <w:szCs w:val="28"/>
          <w:lang w:eastAsia="ru-RU"/>
        </w:rPr>
        <w:t>24.10.2022</w:t>
      </w:r>
      <w:r w:rsidR="00874C12" w:rsidRPr="00EB2FCC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874C12" w:rsidRPr="00EB2FCC">
        <w:rPr>
          <w:rFonts w:ascii="Times New Roman" w:eastAsia="Times New Roman" w:hAnsi="Times New Roman"/>
          <w:vanish/>
          <w:sz w:val="28"/>
          <w:szCs w:val="28"/>
          <w:lang w:eastAsia="ru-RU"/>
        </w:rPr>
        <w:t>2              2            № 2</w:t>
      </w:r>
      <w:r w:rsidR="00874C12" w:rsidRPr="00EB2F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EB2F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№  3</w:t>
      </w:r>
      <w:r w:rsidR="002F78A5" w:rsidRPr="00EB2FC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B2FCC">
        <w:rPr>
          <w:rFonts w:ascii="Times New Roman" w:eastAsia="Times New Roman" w:hAnsi="Times New Roman"/>
          <w:sz w:val="28"/>
          <w:szCs w:val="28"/>
          <w:lang w:eastAsia="ru-RU"/>
        </w:rPr>
        <w:t>-а</w:t>
      </w:r>
    </w:p>
    <w:p w:rsidR="00874C12" w:rsidRDefault="00874C12" w:rsidP="00874C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D47070" w:rsidRDefault="00D47070"/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основных направлений долговой политики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Стеклянского</w:t>
      </w:r>
      <w:r w:rsidRPr="002F78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Купинского района Новосибирской области</w:t>
      </w:r>
    </w:p>
    <w:p w:rsidR="002F78A5" w:rsidRPr="002F78A5" w:rsidRDefault="00EB2FCC" w:rsidP="002F78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2023 год и на плановый период 2024 и 2025</w:t>
      </w:r>
      <w:r w:rsidR="002F78A5" w:rsidRPr="002F78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В соответствии со ст. 107.1 Бюджетного кодекса Российской Федерации, 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эффективного управления муниципальным долгом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Стеклянского 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F78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F78A5">
        <w:rPr>
          <w:rFonts w:ascii="Times New Roman" w:eastAsia="Times New Roman" w:hAnsi="Times New Roman"/>
          <w:bCs/>
          <w:sz w:val="28"/>
          <w:szCs w:val="28"/>
          <w:lang w:eastAsia="ru-RU"/>
        </w:rPr>
        <w:t>Купинско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 района Новосибирской области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tabs>
          <w:tab w:val="left" w:pos="180"/>
          <w:tab w:val="left" w:pos="360"/>
          <w:tab w:val="left" w:pos="129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2F78A5" w:rsidRPr="002F78A5" w:rsidRDefault="002F78A5" w:rsidP="002F78A5">
      <w:pPr>
        <w:tabs>
          <w:tab w:val="left" w:pos="180"/>
          <w:tab w:val="left" w:pos="360"/>
          <w:tab w:val="left" w:pos="129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основные направления долговой политики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Стеклянского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Купинского район</w:t>
      </w:r>
      <w:r w:rsidR="00EB2FCC">
        <w:rPr>
          <w:rFonts w:ascii="Times New Roman" w:eastAsia="Times New Roman" w:hAnsi="Times New Roman"/>
          <w:sz w:val="28"/>
          <w:szCs w:val="28"/>
          <w:lang w:eastAsia="ru-RU"/>
        </w:rPr>
        <w:t>а  Новосибирской области на 2023 год и на плановый период 2024 и 2025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согласно приложению.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</w:t>
      </w:r>
      <w:r w:rsidR="00EB2FCC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 1 января 2023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2F78A5" w:rsidRPr="002F78A5" w:rsidRDefault="002F78A5" w:rsidP="002F7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tabs>
          <w:tab w:val="left" w:pos="180"/>
          <w:tab w:val="left" w:pos="360"/>
          <w:tab w:val="left" w:pos="460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F78A5" w:rsidRPr="002F78A5" w:rsidRDefault="002F78A5" w:rsidP="002F78A5">
      <w:pPr>
        <w:tabs>
          <w:tab w:val="left" w:pos="180"/>
          <w:tab w:val="left" w:pos="360"/>
          <w:tab w:val="left" w:pos="460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tabs>
          <w:tab w:val="left" w:pos="180"/>
          <w:tab w:val="left" w:pos="360"/>
          <w:tab w:val="left" w:pos="460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2FCC" w:rsidRDefault="002F78A5" w:rsidP="002F78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Стеклянского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2F78A5" w:rsidRPr="002F78A5" w:rsidRDefault="00EB2FCC" w:rsidP="002F78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района Новосибирской области</w:t>
      </w:r>
      <w:r w:rsidR="002F78A5"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С.И.Жидкова</w:t>
      </w:r>
      <w:proofErr w:type="spellEnd"/>
    </w:p>
    <w:p w:rsidR="002F78A5" w:rsidRPr="002F78A5" w:rsidRDefault="002F78A5" w:rsidP="002F78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b/>
          <w:bCs/>
          <w:sz w:val="20"/>
          <w:szCs w:val="28"/>
          <w:lang w:eastAsia="ru-RU"/>
        </w:rPr>
        <w:t xml:space="preserve"> </w:t>
      </w:r>
      <w:r w:rsidRPr="002F78A5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сновные направления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долговой политики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Стеклянского </w:t>
      </w:r>
      <w:r w:rsidRPr="002F78A5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сельсовета Купинского райо</w:t>
      </w:r>
      <w:r w:rsidR="00EB2FCC">
        <w:rPr>
          <w:rFonts w:ascii="Times New Roman" w:eastAsia="Times New Roman" w:hAnsi="Times New Roman"/>
          <w:bCs/>
          <w:sz w:val="28"/>
          <w:szCs w:val="28"/>
          <w:lang w:eastAsia="ru-RU"/>
        </w:rPr>
        <w:t>на Новосибирской области на 2023 год и на плановый период 2024 и 2025</w:t>
      </w:r>
      <w:r w:rsidRPr="002F78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долговой политики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Стеклянского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Купинского райо</w:t>
      </w:r>
      <w:r w:rsidR="00EB2FCC">
        <w:rPr>
          <w:rFonts w:ascii="Times New Roman" w:eastAsia="Times New Roman" w:hAnsi="Times New Roman"/>
          <w:sz w:val="28"/>
          <w:szCs w:val="28"/>
          <w:lang w:eastAsia="ru-RU"/>
        </w:rPr>
        <w:t>на Новосибирской области на 2023 год и на плановый период 2024и 2025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(далее - долговая политика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Стеклянского 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сельсовета) определяют приоритетные направления деятельности по управлению муниципальным долгом, в соответствии с требованиями, установленными ст. 107.1 Бюджетного кодекса Российской Федерации.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2. Итоги реализации долговой политики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основных направлений осуществлялась с учетом итогов реализации долговой политики и программы муниципальных заимствований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EB2FCC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период с 2018 по 2022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годы.</w:t>
      </w:r>
    </w:p>
    <w:p w:rsidR="002F78A5" w:rsidRPr="002F78A5" w:rsidRDefault="00EB2FCC" w:rsidP="002F7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2018-2022</w:t>
      </w:r>
      <w:r w:rsidR="002F78A5"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</w:t>
      </w:r>
      <w:r w:rsidR="002F78A5" w:rsidRPr="002F78A5">
        <w:rPr>
          <w:rFonts w:ascii="Times New Roman" w:eastAsia="Times New Roman" w:hAnsi="Times New Roman"/>
          <w:sz w:val="28"/>
          <w:szCs w:val="20"/>
          <w:lang w:eastAsia="ru-RU"/>
        </w:rPr>
        <w:t xml:space="preserve">объем муниципального долга </w:t>
      </w:r>
      <w:r w:rsidR="002F78A5"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r w:rsidR="002F78A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F78A5" w:rsidRPr="002F78A5">
        <w:rPr>
          <w:rFonts w:ascii="Times New Roman" w:eastAsia="Times New Roman" w:hAnsi="Times New Roman"/>
          <w:sz w:val="28"/>
          <w:szCs w:val="20"/>
          <w:lang w:eastAsia="ru-RU"/>
        </w:rPr>
        <w:t>сельсовета равен нулю.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минимизации финансовых рисков для бюджета муниципальные гарантии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Стеклянским</w:t>
      </w:r>
      <w:proofErr w:type="spellEnd"/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сельсоветом не предоставляются.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3. Основные факторы, определяющие характер и направления долговой политики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Стеклянского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2F78A5" w:rsidRPr="002F78A5" w:rsidRDefault="002F78A5" w:rsidP="002F78A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факторами, определяющими характер и направления долговой политики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Стеклянского</w:t>
      </w:r>
      <w:r w:rsidR="00EB2F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 2023 и плановом периоде 2024 и 2025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proofErr w:type="gramEnd"/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являться:</w:t>
      </w:r>
    </w:p>
    <w:p w:rsidR="002F78A5" w:rsidRPr="002F78A5" w:rsidRDefault="002F78A5" w:rsidP="002F78A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-влияние рисков нестабильной экономической ситуации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Стеклянского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связанных с неполучением собственных налоговых и неналоговых доходов;</w:t>
      </w:r>
    </w:p>
    <w:p w:rsidR="002F78A5" w:rsidRPr="002F78A5" w:rsidRDefault="002F78A5" w:rsidP="002F78A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-рост недоимки по платежам в бюджет;</w:t>
      </w:r>
    </w:p>
    <w:p w:rsidR="002F78A5" w:rsidRPr="002F78A5" w:rsidRDefault="002F78A5" w:rsidP="002F78A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-увеличение потребности в средствах необходимых для решения поставленных социально-экономических задач на территории поселения.</w:t>
      </w:r>
    </w:p>
    <w:p w:rsidR="002F78A5" w:rsidRPr="002F78A5" w:rsidRDefault="002F78A5" w:rsidP="002F78A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4. Цели и задачи долговой политики</w:t>
      </w:r>
    </w:p>
    <w:p w:rsidR="002F78A5" w:rsidRPr="002F78A5" w:rsidRDefault="002F78A5" w:rsidP="002F78A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долговой политики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Стеклянского</w:t>
      </w:r>
      <w:r w:rsidR="00EB2F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 2024-2025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годах будет осуществляться в соответствии со следующими целями: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обеспечение сбалансированности бюджета поселения;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снижение рисков в сфере управления муниципальным долгом.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Реализация долговой политики будет направлена на решение следующих задач: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минимизация размера муниципального долга поселения;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обеспечение контроля показателей долговой устойчивости (предельных объемов муниципального долга и расходов на обслуживание муниципального долга), предусмотренных ст. 107.1 Бюджетного кодекса Российской Федерации.</w:t>
      </w:r>
    </w:p>
    <w:p w:rsidR="002F78A5" w:rsidRPr="002F78A5" w:rsidRDefault="002F78A5" w:rsidP="002F78A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5. Основные направления долговой политики и мероприятия, проводимые в рамках их реализации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направлениями долговой политики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Стеклянского</w:t>
      </w:r>
      <w:r w:rsidR="00EB2F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 2024-2025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 являются:</w:t>
      </w:r>
    </w:p>
    <w:p w:rsidR="002F78A5" w:rsidRPr="002F78A5" w:rsidRDefault="002F78A5" w:rsidP="002F78A5">
      <w:pPr>
        <w:widowControl w:val="0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минимизация долговых обязательств бюджета поселения;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минимизация процентных ставок по коммерческим кредитам.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долговой политики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Стеклянского</w:t>
      </w:r>
      <w:r w:rsidR="00EB2F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 2023-2025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 будет, осуществляется путем выполнения комплекса мероприятий: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5.1. Поддержание объема муниципального долга на оптимальном уровне. 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5.2. Минимизация стоимости обслуживания муниципального долга, в том числе гибкое реагирование на изменяющиеся условия финансовых рынков и использование наиболее благоприятных форм заимствований.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5.3. Равномерное распределение платежей, связанных с погашением и обслуживанием муниципального долга, в том числе: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использование механизмов оперативного управления долговыми обязательствами в части корректировки сроков привлечения заимствований, сокращения объема заимствований с учетом результатов исполнения бюджета поселения.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5. Ожидаемые результаты долговой политики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Стеклянского 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5.1. Поддержание объема муниципального долга на оптимальном уровне;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5.2. Минимизация расходов на обслуживание муниципального долга с целью последующего перераспределения высвобождающихся ресурсов на решение приоритетных задач;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6. Основные риски, связанные с управлением муниципальным долгом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рисками, связанными с управлением муниципальным </w:t>
      </w: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долгом, являются: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6.1 Риск недостаточного поступления доходов в бюджет.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В целях оценки данного риска планируется продолжить мониторинг исполнения бюджета поселения по доходам и работа с недоимкой по платежам в бюджет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6.2 Риск рефинансирования.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Риск рефинансирования связан с необходимостью привлечения новых заимствований для погашения ранее принятых долговых обязательств. В целях оценки риска рефинансирования на постоянной основе будет осуществляться мониторинг конъюнктуры финансового (долгового) рынка и на его основе количественная оценка издержек бюджета поселения на обслуживание долга.</w:t>
      </w:r>
    </w:p>
    <w:p w:rsidR="002F78A5" w:rsidRPr="002F78A5" w:rsidRDefault="002F78A5" w:rsidP="002F78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6.3 Риск снижения ликвидности рынка заимствований.</w:t>
      </w:r>
    </w:p>
    <w:p w:rsidR="002F78A5" w:rsidRPr="002F78A5" w:rsidRDefault="002F78A5" w:rsidP="002F78A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Риск снижения ликвидности рынка заимствований - неполучение денежных средств на погашение долговых обязательств, связанное с отказом кредитных организаций предоставить заемные средства в случае наступления финансового кризиса.</w:t>
      </w:r>
    </w:p>
    <w:p w:rsidR="002F78A5" w:rsidRPr="002F78A5" w:rsidRDefault="002F78A5" w:rsidP="002F78A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6.4 Процентный риск – вероятность увеличения расходов бюджета поселения на обслуживание муниципального долга из-за увеличения процентных ставок по коммерческим кредитам.</w:t>
      </w:r>
    </w:p>
    <w:p w:rsidR="002F78A5" w:rsidRPr="002F78A5" w:rsidRDefault="002F78A5" w:rsidP="002F78A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>Процентный риск необходимо уменьшать путем погашения кредитов, полученных под повышенную процентную ставку и получение кредита на покрытие кассового разрыва, с возможностью неоднократного получения и погашения в течение срока исполнения по контракту.</w:t>
      </w:r>
    </w:p>
    <w:p w:rsidR="00874C12" w:rsidRPr="00874C12" w:rsidRDefault="002F78A5" w:rsidP="002F78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8A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74C12" w:rsidRPr="00874C12" w:rsidRDefault="00874C12" w:rsidP="00874C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C12" w:rsidRPr="00874C12" w:rsidRDefault="00874C12" w:rsidP="00874C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C12" w:rsidRPr="00874C12" w:rsidRDefault="00874C12" w:rsidP="00874C12">
      <w:pPr>
        <w:tabs>
          <w:tab w:val="left" w:pos="180"/>
          <w:tab w:val="left" w:pos="360"/>
          <w:tab w:val="left" w:pos="129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C12" w:rsidRPr="00874C12" w:rsidRDefault="002F78A5" w:rsidP="00874C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74C12" w:rsidRDefault="00874C12"/>
    <w:sectPr w:rsidR="0087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EF"/>
    <w:rsid w:val="002F78A5"/>
    <w:rsid w:val="00874C12"/>
    <w:rsid w:val="009837EF"/>
    <w:rsid w:val="00D47070"/>
    <w:rsid w:val="00EB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F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F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2022-12-05T05:36:00Z</cp:lastPrinted>
  <dcterms:created xsi:type="dcterms:W3CDTF">2021-11-07T04:51:00Z</dcterms:created>
  <dcterms:modified xsi:type="dcterms:W3CDTF">2022-12-05T05:36:00Z</dcterms:modified>
</cp:coreProperties>
</file>